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8D0" w:rsidRDefault="00F86975">
      <w:pPr>
        <w:jc w:val="center"/>
        <w:rPr>
          <w:rFonts w:ascii="Arial" w:hAnsi="Arial" w:cs="Arial"/>
          <w:b/>
          <w:color w:val="2F5496" w:themeColor="accent1" w:themeShade="BF"/>
          <w:sz w:val="32"/>
          <w:szCs w:val="32"/>
        </w:rPr>
      </w:pPr>
      <w:bookmarkStart w:id="0" w:name="_Hlk211867161"/>
      <w:r>
        <w:rPr>
          <w:rFonts w:ascii="Arial" w:eastAsia="Arial" w:hAnsi="Arial" w:cs="Arial"/>
          <w:b/>
          <w:color w:val="2F5496" w:themeColor="accent1" w:themeShade="BF"/>
          <w:sz w:val="32"/>
          <w:szCs w:val="32"/>
        </w:rPr>
        <w:t>ACCORD-CADRE N°25A32</w:t>
      </w:r>
    </w:p>
    <w:p w:rsidR="009B78D0" w:rsidRDefault="00F86975">
      <w:pPr>
        <w:pStyle w:val="Titre1"/>
        <w:jc w:val="center"/>
        <w:rPr>
          <w:rFonts w:ascii="Arial" w:hAnsi="Arial" w:cs="Arial"/>
          <w:b/>
        </w:rPr>
      </w:pPr>
      <w:bookmarkStart w:id="1" w:name="_Toc15"/>
      <w:bookmarkEnd w:id="0"/>
      <w:r>
        <w:rPr>
          <w:rFonts w:ascii="Arial" w:eastAsia="Arial" w:hAnsi="Arial" w:cs="Arial"/>
          <w:b/>
        </w:rPr>
        <w:t>CAHIER DES CLAUSES PARTICULIERES TECHNIQUES (CCTP)</w:t>
      </w:r>
      <w:bookmarkEnd w:id="1"/>
    </w:p>
    <w:p w:rsidR="009B78D0" w:rsidRDefault="00F86975">
      <w:pPr>
        <w:pStyle w:val="Titre1"/>
        <w:jc w:val="center"/>
        <w:rPr>
          <w:rFonts w:ascii="Arial" w:hAnsi="Arial" w:cs="Arial"/>
          <w:b/>
        </w:rPr>
      </w:pPr>
      <w:bookmarkStart w:id="2" w:name="_Toc16"/>
      <w:r>
        <w:rPr>
          <w:rFonts w:ascii="Arial" w:eastAsia="Arial" w:hAnsi="Arial" w:cs="Arial"/>
          <w:b/>
        </w:rPr>
        <w:t>LOT 1 – AUDIT CIBLE</w:t>
      </w:r>
      <w:bookmarkEnd w:id="2"/>
    </w:p>
    <w:p w:rsidR="009B78D0" w:rsidRDefault="00F86975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eastAsiaTheme="majorEastAsia" w:hAnsi="Arial" w:cs="Arial"/>
          <w:color w:val="2F5496" w:themeColor="accent1" w:themeShade="BF"/>
          <w:sz w:val="32"/>
          <w:szCs w:val="32"/>
        </w:rPr>
        <w:br/>
      </w:r>
      <w:r>
        <w:rPr>
          <w:rFonts w:ascii="Arial" w:eastAsia="Arial" w:hAnsi="Arial" w:cs="Arial"/>
        </w:rPr>
        <w:t>Les offres doivent être en conformité avec les spécifications techniques décrites dans le présent document</w:t>
      </w:r>
      <w:bookmarkStart w:id="3" w:name="_GoBack"/>
      <w:bookmarkEnd w:id="3"/>
      <w:r>
        <w:rPr>
          <w:rFonts w:ascii="Arial" w:eastAsia="Arial" w:hAnsi="Arial" w:cs="Arial"/>
        </w:rPr>
        <w:t>.</w:t>
      </w:r>
      <w:r>
        <w:rPr>
          <w:rFonts w:ascii="Arial" w:eastAsiaTheme="majorEastAsia" w:hAnsi="Arial" w:cs="Arial"/>
          <w:color w:val="2F5496" w:themeColor="accent1" w:themeShade="BF"/>
          <w:sz w:val="32"/>
          <w:szCs w:val="32"/>
        </w:rPr>
        <w:br/>
      </w:r>
    </w:p>
    <w:p w:rsidR="009B78D0" w:rsidRDefault="009B78D0">
      <w:pPr>
        <w:rPr>
          <w:rFonts w:ascii="Arial" w:hAnsi="Arial" w:cs="Arial"/>
          <w:color w:val="2F5496" w:themeColor="accent1" w:themeShade="BF"/>
          <w:sz w:val="32"/>
          <w:szCs w:val="32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52088963"/>
        <w:docPartObj>
          <w:docPartGallery w:val="Table of Contents"/>
          <w:docPartUnique/>
        </w:docPartObj>
      </w:sdtPr>
      <w:sdtEndPr/>
      <w:sdtContent>
        <w:p w:rsidR="009B78D0" w:rsidRDefault="00F86975">
          <w:pPr>
            <w:pStyle w:val="En-ttedetabledesmatires"/>
            <w:rPr>
              <w:rFonts w:ascii="Arial" w:hAnsi="Arial" w:cs="Arial"/>
            </w:rPr>
          </w:pPr>
          <w:r>
            <w:rPr>
              <w:rFonts w:ascii="Arial" w:eastAsia="Arial" w:hAnsi="Arial" w:cs="Arial"/>
            </w:rPr>
            <w:t>Table des matières</w:t>
          </w:r>
        </w:p>
        <w:p w:rsidR="009B78D0" w:rsidRDefault="00F86975">
          <w:pPr>
            <w:pStyle w:val="TM1"/>
            <w:tabs>
              <w:tab w:val="right" w:leader="dot" w:pos="9062"/>
            </w:tabs>
            <w:rPr>
              <w:rFonts w:ascii="Arial" w:hAnsi="Arial" w:cs="Arial"/>
              <w:b/>
            </w:rPr>
          </w:pP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 xml:space="preserve"> TOC \o "1-3" \h \z \u </w:instrText>
          </w:r>
          <w:r>
            <w:rPr>
              <w:rFonts w:ascii="Arial" w:eastAsia="Arial" w:hAnsi="Arial" w:cs="Arial"/>
            </w:rPr>
            <w:fldChar w:fldCharType="separate"/>
          </w:r>
          <w:hyperlink w:anchor="_Toc15" w:tooltip="#_Toc15" w:history="1">
            <w:r>
              <w:rPr>
                <w:rStyle w:val="Lienhypertexte"/>
                <w:rFonts w:ascii="Arial" w:eastAsia="Arial" w:hAnsi="Arial" w:cs="Arial"/>
                <w:b/>
              </w:rPr>
              <w:t>CAHIER DES CLAUSES PARTICULIERES TECHNIQUES (CCTP)</w:t>
            </w:r>
            <w:r>
              <w:tab/>
            </w:r>
            <w:r>
              <w:fldChar w:fldCharType="begin"/>
            </w:r>
            <w:r>
              <w:instrText>PAGEREF _Toc15 \h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hyperlink>
        </w:p>
        <w:p w:rsidR="009B78D0" w:rsidRDefault="006E3327">
          <w:pPr>
            <w:pStyle w:val="TM1"/>
            <w:tabs>
              <w:tab w:val="right" w:leader="dot" w:pos="9062"/>
            </w:tabs>
            <w:rPr>
              <w:rFonts w:ascii="Arial" w:hAnsi="Arial" w:cs="Arial"/>
              <w:b/>
            </w:rPr>
          </w:pPr>
          <w:hyperlink w:anchor="_Toc16" w:tooltip="#_Toc16" w:history="1">
            <w:r w:rsidR="00F86975">
              <w:rPr>
                <w:rStyle w:val="Lienhypertexte"/>
                <w:rFonts w:ascii="Arial" w:eastAsia="Arial" w:hAnsi="Arial" w:cs="Arial"/>
                <w:b/>
              </w:rPr>
              <w:t>LOT 1 – AUDIT CIBLE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_Toc16 \h</w:instrText>
            </w:r>
            <w:r w:rsidR="00F86975">
              <w:fldChar w:fldCharType="separate"/>
            </w:r>
            <w:r w:rsidR="00F86975">
              <w:t>1</w:t>
            </w:r>
            <w:r w:rsidR="00F86975">
              <w:fldChar w:fldCharType="end"/>
            </w:r>
          </w:hyperlink>
        </w:p>
        <w:p w:rsidR="009B78D0" w:rsidRDefault="006E3327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17" w:tooltip="#_Toc17" w:history="1">
            <w:r w:rsidR="00F86975">
              <w:rPr>
                <w:rFonts w:ascii="Arial" w:eastAsiaTheme="majorEastAsia" w:hAnsi="Arial" w:cs="Arial"/>
              </w:rPr>
              <w:t>1.</w:t>
            </w:r>
            <w:r w:rsidR="00F86975">
              <w:tab/>
            </w:r>
            <w:r w:rsidR="00F86975">
              <w:rPr>
                <w:rStyle w:val="Lienhypertexte"/>
                <w:rFonts w:ascii="Arial" w:eastAsia="Arial" w:hAnsi="Arial" w:cs="Arial"/>
              </w:rPr>
              <w:t>Description du contexte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_Toc17 \h</w:instrText>
            </w:r>
            <w:r w:rsidR="00F86975">
              <w:fldChar w:fldCharType="separate"/>
            </w:r>
            <w:r w:rsidR="00F86975">
              <w:t>2</w:t>
            </w:r>
            <w:r w:rsidR="00F86975">
              <w:fldChar w:fldCharType="end"/>
            </w:r>
          </w:hyperlink>
        </w:p>
        <w:p w:rsidR="009B78D0" w:rsidRDefault="006E3327">
          <w:pPr>
            <w:pStyle w:val="TM3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18" w:tooltip="#_Toc18" w:history="1">
            <w:r w:rsidR="00F86975">
              <w:rPr>
                <w:rStyle w:val="Lienhypertexte"/>
                <w:rFonts w:ascii="Arial" w:eastAsia="Arial" w:hAnsi="Arial" w:cs="Arial"/>
              </w:rPr>
              <w:t>1.1 L’université de Lorraine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_Toc18 \h</w:instrText>
            </w:r>
            <w:r w:rsidR="00F86975">
              <w:fldChar w:fldCharType="separate"/>
            </w:r>
            <w:r w:rsidR="00F86975">
              <w:t>2</w:t>
            </w:r>
            <w:r w:rsidR="00F86975">
              <w:fldChar w:fldCharType="end"/>
            </w:r>
          </w:hyperlink>
        </w:p>
        <w:p w:rsidR="009B78D0" w:rsidRDefault="006E3327">
          <w:pPr>
            <w:pStyle w:val="TM3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19" w:tooltip="#_Toc19" w:history="1">
            <w:r w:rsidR="00F86975">
              <w:rPr>
                <w:rStyle w:val="Lienhypertexte"/>
                <w:rFonts w:ascii="Arial" w:eastAsia="Arial" w:hAnsi="Arial" w:cs="Arial"/>
              </w:rPr>
              <w:t>1.2 Définition du besoin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_Toc19 \h</w:instrText>
            </w:r>
            <w:r w:rsidR="00F86975">
              <w:fldChar w:fldCharType="separate"/>
            </w:r>
            <w:r w:rsidR="00F86975">
              <w:t>2</w:t>
            </w:r>
            <w:r w:rsidR="00F86975">
              <w:fldChar w:fldCharType="end"/>
            </w:r>
          </w:hyperlink>
        </w:p>
        <w:p w:rsidR="009B78D0" w:rsidRDefault="006E3327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20" w:tooltip="#_Toc20" w:history="1">
            <w:r w:rsidR="00F86975">
              <w:rPr>
                <w:rFonts w:ascii="Arial" w:eastAsiaTheme="majorEastAsia" w:hAnsi="Arial" w:cs="Arial"/>
              </w:rPr>
              <w:t>2.</w:t>
            </w:r>
            <w:r w:rsidR="00F86975">
              <w:tab/>
            </w:r>
            <w:r w:rsidR="00F86975">
              <w:rPr>
                <w:rStyle w:val="Lienhypertexte"/>
                <w:rFonts w:ascii="Arial" w:eastAsia="Arial" w:hAnsi="Arial" w:cs="Arial"/>
              </w:rPr>
              <w:t>Démarche et objectifs généraux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_Toc20 \h</w:instrText>
            </w:r>
            <w:r w:rsidR="00F86975">
              <w:fldChar w:fldCharType="separate"/>
            </w:r>
            <w:r w:rsidR="00F86975">
              <w:t>2</w:t>
            </w:r>
            <w:r w:rsidR="00F86975">
              <w:fldChar w:fldCharType="end"/>
            </w:r>
          </w:hyperlink>
        </w:p>
        <w:p w:rsidR="009B78D0" w:rsidRDefault="006E3327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21" w:tooltip="#_Toc21" w:history="1">
            <w:r w:rsidR="00F86975">
              <w:rPr>
                <w:rFonts w:ascii="Arial" w:eastAsiaTheme="majorEastAsia" w:hAnsi="Arial" w:cs="Arial"/>
              </w:rPr>
              <w:t>3.</w:t>
            </w:r>
            <w:r w:rsidR="00F86975">
              <w:tab/>
            </w:r>
            <w:r w:rsidR="00F86975">
              <w:rPr>
                <w:rStyle w:val="Lienhypertexte"/>
                <w:rFonts w:ascii="Arial" w:eastAsia="Arial" w:hAnsi="Arial" w:cs="Arial"/>
              </w:rPr>
              <w:t>Pré requis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_Toc21 \h</w:instrText>
            </w:r>
            <w:r w:rsidR="00F86975">
              <w:fldChar w:fldCharType="separate"/>
            </w:r>
            <w:r w:rsidR="00F86975">
              <w:t>2</w:t>
            </w:r>
            <w:r w:rsidR="00F86975">
              <w:fldChar w:fldCharType="end"/>
            </w:r>
          </w:hyperlink>
        </w:p>
        <w:p w:rsidR="009B78D0" w:rsidRDefault="006E3327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22" w:tooltip="#_Toc22" w:history="1">
            <w:r w:rsidR="00F86975">
              <w:rPr>
                <w:rFonts w:ascii="Arial" w:eastAsiaTheme="majorEastAsia" w:hAnsi="Arial" w:cs="Arial"/>
              </w:rPr>
              <w:t>4.</w:t>
            </w:r>
            <w:r w:rsidR="00F86975">
              <w:tab/>
            </w:r>
            <w:r w:rsidR="00F86975">
              <w:rPr>
                <w:rStyle w:val="Lienhypertexte"/>
                <w:rFonts w:ascii="Arial" w:eastAsia="Arial" w:hAnsi="Arial" w:cs="Arial"/>
                <w:lang w:eastAsia="fr-FR"/>
              </w:rPr>
              <w:t>Périmètre de la prestation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_Toc22 \h</w:instrText>
            </w:r>
            <w:r w:rsidR="00F86975">
              <w:fldChar w:fldCharType="separate"/>
            </w:r>
            <w:r w:rsidR="00F86975">
              <w:t>3</w:t>
            </w:r>
            <w:r w:rsidR="00F86975">
              <w:fldChar w:fldCharType="end"/>
            </w:r>
          </w:hyperlink>
        </w:p>
        <w:p w:rsidR="009B78D0" w:rsidRDefault="006E3327">
          <w:pPr>
            <w:pStyle w:val="TM3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23" w:tooltip="#_Toc23" w:history="1">
            <w:r w:rsidR="00F86975">
              <w:rPr>
                <w:rStyle w:val="Lienhypertexte"/>
                <w:rFonts w:ascii="Arial" w:eastAsia="Arial" w:hAnsi="Arial" w:cs="Arial"/>
                <w:lang w:eastAsia="fr-FR"/>
              </w:rPr>
              <w:t>4.1 Durée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_Toc23 \h</w:instrText>
            </w:r>
            <w:r w:rsidR="00F86975">
              <w:fldChar w:fldCharType="separate"/>
            </w:r>
            <w:r w:rsidR="00F86975">
              <w:t>3</w:t>
            </w:r>
            <w:r w:rsidR="00F86975">
              <w:fldChar w:fldCharType="end"/>
            </w:r>
          </w:hyperlink>
        </w:p>
        <w:p w:rsidR="009B78D0" w:rsidRDefault="006E3327">
          <w:pPr>
            <w:pStyle w:val="TM3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24" w:tooltip="#_Toc24" w:history="1">
            <w:r w:rsidR="00F86975">
              <w:rPr>
                <w:rStyle w:val="Lienhypertexte"/>
              </w:rPr>
              <w:t xml:space="preserve">4.2 </w:t>
            </w:r>
            <w:r w:rsidR="00F86975">
              <w:rPr>
                <w:rStyle w:val="Lienhypertexte"/>
                <w:rFonts w:ascii="Arial" w:eastAsia="Arial" w:hAnsi="Arial" w:cs="Arial"/>
              </w:rPr>
              <w:t>Public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_Toc24 \h</w:instrText>
            </w:r>
            <w:r w:rsidR="00F86975">
              <w:fldChar w:fldCharType="separate"/>
            </w:r>
            <w:r w:rsidR="00F86975">
              <w:t>3</w:t>
            </w:r>
            <w:r w:rsidR="00F86975">
              <w:fldChar w:fldCharType="end"/>
            </w:r>
          </w:hyperlink>
        </w:p>
        <w:p w:rsidR="009B78D0" w:rsidRDefault="006E3327">
          <w:pPr>
            <w:pStyle w:val="TM3"/>
            <w:tabs>
              <w:tab w:val="right" w:leader="dot" w:pos="9062"/>
            </w:tabs>
            <w:rPr>
              <w:rFonts w:ascii="Arial" w:eastAsia="Arial" w:hAnsi="Arial" w:cs="Arial"/>
            </w:rPr>
          </w:pPr>
          <w:hyperlink w:anchor="_Toc25" w:tooltip="#_Toc25" w:history="1">
            <w:r w:rsidR="00F86975">
              <w:rPr>
                <w:rStyle w:val="Lienhypertexte"/>
                <w:rFonts w:ascii="Arial" w:eastAsia="Arial" w:hAnsi="Arial" w:cs="Arial"/>
              </w:rPr>
              <w:t>4.3 Périmètre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_Toc25 \h</w:instrText>
            </w:r>
            <w:r w:rsidR="00F86975">
              <w:fldChar w:fldCharType="separate"/>
            </w:r>
            <w:r w:rsidR="00F86975">
              <w:t>3</w:t>
            </w:r>
            <w:r w:rsidR="00F86975">
              <w:fldChar w:fldCharType="end"/>
            </w:r>
          </w:hyperlink>
        </w:p>
        <w:p w:rsidR="009B78D0" w:rsidRDefault="006E3327">
          <w:pPr>
            <w:pStyle w:val="TM3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26" w:tooltip="#_Toc26" w:history="1">
            <w:r w:rsidR="00F86975">
              <w:rPr>
                <w:rStyle w:val="Lienhypertexte"/>
                <w:rFonts w:ascii="Arial" w:eastAsia="Arial" w:hAnsi="Arial" w:cs="Arial"/>
              </w:rPr>
              <w:t>4.4 Langue(s) de travail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_Toc26 \h</w:instrText>
            </w:r>
            <w:r w:rsidR="00F86975">
              <w:fldChar w:fldCharType="separate"/>
            </w:r>
            <w:r w:rsidR="00F86975">
              <w:t>3</w:t>
            </w:r>
            <w:r w:rsidR="00F86975">
              <w:fldChar w:fldCharType="end"/>
            </w:r>
          </w:hyperlink>
        </w:p>
        <w:p w:rsidR="009B78D0" w:rsidRDefault="006E3327">
          <w:pPr>
            <w:pStyle w:val="TM3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27" w:tooltip="#_Toc27" w:history="1">
            <w:r w:rsidR="00F86975">
              <w:rPr>
                <w:rStyle w:val="Lienhypertexte"/>
              </w:rPr>
              <w:t xml:space="preserve">4.5 </w:t>
            </w:r>
            <w:r w:rsidR="00F86975">
              <w:rPr>
                <w:rStyle w:val="Lienhypertexte"/>
                <w:rFonts w:ascii="Arial" w:eastAsia="Arial" w:hAnsi="Arial" w:cs="Arial"/>
              </w:rPr>
              <w:t>Livrables attendus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_Toc27 \h</w:instrText>
            </w:r>
            <w:r w:rsidR="00F86975">
              <w:fldChar w:fldCharType="separate"/>
            </w:r>
            <w:r w:rsidR="00F86975">
              <w:t>3</w:t>
            </w:r>
            <w:r w:rsidR="00F86975">
              <w:fldChar w:fldCharType="end"/>
            </w:r>
          </w:hyperlink>
        </w:p>
        <w:p w:rsidR="009B78D0" w:rsidRDefault="006E3327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28" w:tooltip="#_Toc28" w:history="1">
            <w:r w:rsidR="00F86975">
              <w:rPr>
                <w:rFonts w:ascii="Arial" w:eastAsiaTheme="majorEastAsia" w:hAnsi="Arial" w:cs="Arial"/>
              </w:rPr>
              <w:t>5.</w:t>
            </w:r>
            <w:r w:rsidR="00F86975">
              <w:tab/>
            </w:r>
            <w:r w:rsidR="00F86975">
              <w:rPr>
                <w:rStyle w:val="Lienhypertexte"/>
                <w:rFonts w:ascii="Arial" w:eastAsia="Arial" w:hAnsi="Arial" w:cs="Arial"/>
              </w:rPr>
              <w:t>Objectifs et attendus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_Toc28 \h</w:instrText>
            </w:r>
            <w:r w:rsidR="00F86975">
              <w:fldChar w:fldCharType="separate"/>
            </w:r>
            <w:r w:rsidR="00F86975">
              <w:t>3</w:t>
            </w:r>
            <w:r w:rsidR="00F86975">
              <w:fldChar w:fldCharType="end"/>
            </w:r>
          </w:hyperlink>
        </w:p>
        <w:p w:rsidR="009B78D0" w:rsidRDefault="006E3327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29" w:tooltip="#_Toc29" w:history="1">
            <w:r w:rsidR="00F86975">
              <w:rPr>
                <w:rFonts w:ascii="Arial" w:eastAsiaTheme="majorEastAsia" w:hAnsi="Arial" w:cs="Arial"/>
              </w:rPr>
              <w:t>6.</w:t>
            </w:r>
            <w:r w:rsidR="00F86975">
              <w:tab/>
            </w:r>
            <w:r w:rsidR="00F86975">
              <w:rPr>
                <w:rStyle w:val="Lienhypertexte"/>
                <w:rFonts w:ascii="Arial" w:eastAsia="Arial" w:hAnsi="Arial" w:cs="Arial"/>
              </w:rPr>
              <w:t>Calendrier et lieux de déroulement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_Toc29 \h</w:instrText>
            </w:r>
            <w:r w:rsidR="00F86975">
              <w:fldChar w:fldCharType="separate"/>
            </w:r>
            <w:r w:rsidR="00F86975">
              <w:t>4</w:t>
            </w:r>
            <w:r w:rsidR="00F86975">
              <w:fldChar w:fldCharType="end"/>
            </w:r>
          </w:hyperlink>
        </w:p>
        <w:p w:rsidR="009B78D0" w:rsidRDefault="006E3327">
          <w:pPr>
            <w:pStyle w:val="TM3"/>
            <w:tabs>
              <w:tab w:val="right" w:leader="dot" w:pos="9062"/>
            </w:tabs>
            <w:rPr>
              <w:rFonts w:ascii="Arial" w:hAnsi="Arial" w:cs="Arial"/>
            </w:rPr>
          </w:pPr>
          <w:hyperlink w:anchor="_Toc30" w:tooltip="#_Toc30" w:history="1">
            <w:r w:rsidR="00F86975">
              <w:rPr>
                <w:rStyle w:val="Lienhypertexte"/>
                <w:rFonts w:ascii="Arial" w:eastAsia="Arial" w:hAnsi="Arial" w:cs="Arial"/>
                <w:lang w:eastAsia="fr-FR"/>
              </w:rPr>
              <w:t>6.1 Délais d’exécution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_Toc30 \h</w:instrText>
            </w:r>
            <w:r w:rsidR="00F86975">
              <w:fldChar w:fldCharType="separate"/>
            </w:r>
            <w:r w:rsidR="00F86975">
              <w:t>4</w:t>
            </w:r>
            <w:r w:rsidR="00F86975">
              <w:fldChar w:fldCharType="end"/>
            </w:r>
          </w:hyperlink>
        </w:p>
        <w:p w:rsidR="009B78D0" w:rsidRDefault="006E3327">
          <w:pPr>
            <w:pStyle w:val="TM2"/>
            <w:tabs>
              <w:tab w:val="left" w:pos="850"/>
              <w:tab w:val="right" w:leader="dot" w:pos="9062"/>
            </w:tabs>
            <w:rPr>
              <w:rFonts w:ascii="Arial" w:hAnsi="Arial" w:cs="Arial"/>
            </w:rPr>
          </w:pPr>
          <w:hyperlink w:anchor="_Toc31" w:tooltip="#_Toc31" w:history="1">
            <w:r w:rsidR="00F86975">
              <w:rPr>
                <w:rFonts w:ascii="Arial" w:eastAsiaTheme="majorEastAsia" w:hAnsi="Arial" w:cs="Arial"/>
              </w:rPr>
              <w:t>7.</w:t>
            </w:r>
            <w:r w:rsidR="00F86975">
              <w:tab/>
            </w:r>
            <w:r w:rsidR="00F86975">
              <w:rPr>
                <w:rStyle w:val="Lienhypertexte"/>
                <w:rFonts w:ascii="Arial" w:eastAsia="Arial" w:hAnsi="Arial" w:cs="Arial"/>
                <w:lang w:eastAsia="fr-FR"/>
              </w:rPr>
              <w:t>Profil attendu du prestataire</w:t>
            </w:r>
            <w:r w:rsidR="00F86975">
              <w:tab/>
            </w:r>
            <w:r w:rsidR="00F86975">
              <w:fldChar w:fldCharType="begin"/>
            </w:r>
            <w:r w:rsidR="00F86975">
              <w:instrText>PAGEREF _Toc31 \h</w:instrText>
            </w:r>
            <w:r w:rsidR="00F86975">
              <w:fldChar w:fldCharType="separate"/>
            </w:r>
            <w:r w:rsidR="00F86975">
              <w:t>4</w:t>
            </w:r>
            <w:r w:rsidR="00F86975">
              <w:fldChar w:fldCharType="end"/>
            </w:r>
          </w:hyperlink>
        </w:p>
        <w:p w:rsidR="009B78D0" w:rsidRDefault="00F86975">
          <w:pPr>
            <w:rPr>
              <w:rFonts w:ascii="Arial" w:hAnsi="Arial" w:cs="Arial"/>
            </w:rPr>
          </w:pPr>
          <w:r>
            <w:rPr>
              <w:rFonts w:ascii="Arial" w:eastAsia="Arial" w:hAnsi="Arial" w:cs="Arial"/>
              <w:b/>
              <w:bCs/>
            </w:rPr>
            <w:fldChar w:fldCharType="end"/>
          </w:r>
        </w:p>
      </w:sdtContent>
    </w:sdt>
    <w:p w:rsidR="009B78D0" w:rsidRDefault="009B78D0">
      <w:pPr>
        <w:rPr>
          <w:rFonts w:ascii="Arial" w:hAnsi="Arial" w:cs="Arial"/>
          <w:color w:val="2F5496" w:themeColor="accent1" w:themeShade="BF"/>
          <w:sz w:val="32"/>
          <w:szCs w:val="32"/>
        </w:rPr>
      </w:pPr>
    </w:p>
    <w:p w:rsidR="009B78D0" w:rsidRDefault="009B78D0">
      <w:pPr>
        <w:rPr>
          <w:rFonts w:ascii="Arial" w:hAnsi="Arial" w:cs="Arial"/>
          <w:color w:val="2F5496" w:themeColor="accent1" w:themeShade="BF"/>
          <w:sz w:val="32"/>
          <w:szCs w:val="32"/>
        </w:rPr>
      </w:pPr>
    </w:p>
    <w:p w:rsidR="009B78D0" w:rsidRDefault="009B78D0">
      <w:pPr>
        <w:rPr>
          <w:rFonts w:ascii="Arial" w:hAnsi="Arial" w:cs="Arial"/>
          <w:color w:val="2F5496" w:themeColor="accent1" w:themeShade="BF"/>
          <w:sz w:val="32"/>
          <w:szCs w:val="32"/>
        </w:rPr>
      </w:pPr>
    </w:p>
    <w:p w:rsidR="009B78D0" w:rsidRDefault="009B78D0">
      <w:pPr>
        <w:rPr>
          <w:rFonts w:ascii="Arial" w:hAnsi="Arial" w:cs="Arial"/>
          <w:color w:val="2F5496" w:themeColor="accent1" w:themeShade="BF"/>
          <w:sz w:val="32"/>
          <w:szCs w:val="32"/>
        </w:rPr>
      </w:pPr>
    </w:p>
    <w:p w:rsidR="009B78D0" w:rsidRDefault="00F86975">
      <w:pPr>
        <w:pStyle w:val="Titre2"/>
        <w:numPr>
          <w:ilvl w:val="0"/>
          <w:numId w:val="21"/>
        </w:numPr>
        <w:jc w:val="both"/>
        <w:rPr>
          <w:rFonts w:ascii="Arial" w:hAnsi="Arial" w:cs="Arial"/>
        </w:rPr>
      </w:pPr>
      <w:bookmarkStart w:id="4" w:name="_Toc17"/>
      <w:bookmarkStart w:id="5" w:name="_Hlk211867213"/>
      <w:bookmarkStart w:id="6" w:name="_Hlk211867791"/>
      <w:r>
        <w:rPr>
          <w:rFonts w:ascii="Arial" w:eastAsia="Arial" w:hAnsi="Arial" w:cs="Arial"/>
        </w:rPr>
        <w:lastRenderedPageBreak/>
        <w:t>Description du contexte</w:t>
      </w:r>
      <w:bookmarkEnd w:id="4"/>
    </w:p>
    <w:p w:rsidR="009B78D0" w:rsidRDefault="00F8697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Le présent cahier des clauses techniques particulières a pour objet de définir et préciser les spécifications relatives aux prestations permettant d’assurer l’accompagnement individuel et/ou collectif à destination de personnels de l’Université de Lorraine par prescription d’un des services commanditaires de ces prestations. A savoir, le service des ressources humaines (DADRH et DMGRH), Délégation à l’amélioration des relations et à la régulation des conflits (DARRC) et l’équipe d’appui aux managers.</w:t>
      </w:r>
      <w:bookmarkEnd w:id="5"/>
    </w:p>
    <w:p w:rsidR="009B78D0" w:rsidRDefault="009B78D0">
      <w:pPr>
        <w:jc w:val="both"/>
        <w:rPr>
          <w:rFonts w:ascii="Arial" w:hAnsi="Arial" w:cs="Arial"/>
        </w:rPr>
      </w:pPr>
    </w:p>
    <w:p w:rsidR="009B78D0" w:rsidRDefault="00F86975">
      <w:pPr>
        <w:pStyle w:val="Titre3"/>
        <w:jc w:val="both"/>
        <w:rPr>
          <w:rFonts w:ascii="Arial" w:hAnsi="Arial" w:cs="Arial"/>
        </w:rPr>
      </w:pPr>
      <w:bookmarkStart w:id="7" w:name="_Toc18"/>
      <w:bookmarkStart w:id="8" w:name="_Hlk211867229"/>
      <w:r>
        <w:rPr>
          <w:rFonts w:ascii="Arial" w:eastAsia="Arial" w:hAnsi="Arial" w:cs="Arial"/>
        </w:rPr>
        <w:t>1.1 L’université de Lorraine</w:t>
      </w:r>
      <w:bookmarkEnd w:id="7"/>
    </w:p>
    <w:p w:rsidR="009B78D0" w:rsidRDefault="00F869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Créée en 2012, l’université de Lorraine (UL) est le résultat de la fusion de 4 universités.</w:t>
      </w:r>
    </w:p>
    <w:p w:rsidR="009B78D0" w:rsidRDefault="00F869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 xml:space="preserve">Elle est implantée principalement à Nancy (70 % des sites) et à Metz (20 % sites) et possède des antennes notamment dans les villes d’Epinal, Longwy, Sarreguemines, Saint-Avold, Thionville, Lunéville, Saint-Dié-des-Vosges, Epinal et Bar le Duc. </w:t>
      </w:r>
    </w:p>
    <w:p w:rsidR="009B78D0" w:rsidRDefault="009B78D0">
      <w:pPr>
        <w:jc w:val="both"/>
        <w:rPr>
          <w:rFonts w:ascii="Arial" w:hAnsi="Arial" w:cs="Arial"/>
          <w:sz w:val="24"/>
          <w:szCs w:val="24"/>
        </w:rPr>
      </w:pPr>
    </w:p>
    <w:p w:rsidR="009B78D0" w:rsidRDefault="00F86975">
      <w:pPr>
        <w:pStyle w:val="Titre3"/>
        <w:jc w:val="both"/>
        <w:rPr>
          <w:rFonts w:ascii="Arial" w:hAnsi="Arial" w:cs="Arial"/>
        </w:rPr>
      </w:pPr>
      <w:bookmarkStart w:id="9" w:name="_Toc19"/>
      <w:r>
        <w:rPr>
          <w:rFonts w:ascii="Arial" w:eastAsia="Arial" w:hAnsi="Arial" w:cs="Arial"/>
        </w:rPr>
        <w:t>1.2 Définition du besoin</w:t>
      </w:r>
      <w:bookmarkEnd w:id="8"/>
      <w:bookmarkEnd w:id="6"/>
      <w:bookmarkEnd w:id="9"/>
    </w:p>
    <w:p w:rsidR="009B78D0" w:rsidRDefault="00F8697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Un audit ciblé est une démarche ponctuelle et circonscrite visant à éclairer une problématique spécifique au sein d’une équipe ou d’une organisation. Contrairement à un audit global, il ne cherche pas à évaluer l’ensemble de la structure mais à analyser en profondeur un périmètre restreint, afin de fournir des éléments d’aide à la décision et des pistes d’amélioration concrètes.</w:t>
      </w:r>
    </w:p>
    <w:p w:rsidR="009B78D0" w:rsidRDefault="009B78D0">
      <w:pPr>
        <w:jc w:val="both"/>
        <w:rPr>
          <w:rFonts w:ascii="Arial" w:hAnsi="Arial" w:cs="Arial"/>
        </w:rPr>
      </w:pPr>
    </w:p>
    <w:p w:rsidR="009B78D0" w:rsidRDefault="00F86975">
      <w:pPr>
        <w:pStyle w:val="Titre2"/>
        <w:numPr>
          <w:ilvl w:val="0"/>
          <w:numId w:val="21"/>
        </w:numPr>
        <w:jc w:val="both"/>
        <w:rPr>
          <w:rFonts w:ascii="Arial" w:hAnsi="Arial" w:cs="Arial"/>
        </w:rPr>
      </w:pPr>
      <w:bookmarkStart w:id="10" w:name="_Toc20"/>
      <w:r>
        <w:rPr>
          <w:rFonts w:ascii="Arial" w:eastAsia="Arial" w:hAnsi="Arial" w:cs="Arial"/>
        </w:rPr>
        <w:t>Démarche et objectifs généraux</w:t>
      </w:r>
      <w:bookmarkEnd w:id="10"/>
    </w:p>
    <w:p w:rsidR="009B78D0" w:rsidRDefault="00F869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Un audit ciblé vise à :</w:t>
      </w:r>
    </w:p>
    <w:p w:rsidR="009B78D0" w:rsidRDefault="00F86975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Explorer et comprendre la situation, appréhender concrètement la réalité, trier les informations en fonction de leur impact sur la problématique.</w:t>
      </w:r>
    </w:p>
    <w:p w:rsidR="009B78D0" w:rsidRDefault="00F86975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Analyser les enjeux, les causes et les conséquences.</w:t>
      </w:r>
    </w:p>
    <w:p w:rsidR="009B78D0" w:rsidRDefault="00F86975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 xml:space="preserve">Avoir une base pour </w:t>
      </w:r>
      <w:proofErr w:type="spellStart"/>
      <w:r>
        <w:rPr>
          <w:rFonts w:ascii="Arial" w:eastAsia="Arial" w:hAnsi="Arial" w:cs="Arial"/>
          <w:lang w:eastAsia="fr-FR"/>
        </w:rPr>
        <w:t>co-construire</w:t>
      </w:r>
      <w:proofErr w:type="spellEnd"/>
      <w:r>
        <w:rPr>
          <w:rFonts w:ascii="Arial" w:eastAsia="Arial" w:hAnsi="Arial" w:cs="Arial"/>
          <w:lang w:eastAsia="fr-FR"/>
        </w:rPr>
        <w:t xml:space="preserve"> un accompagnement pertinent et au plus proche des objectifs et des besoins.</w:t>
      </w:r>
    </w:p>
    <w:p w:rsidR="009B78D0" w:rsidRDefault="00F86975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Clarifier les points de blocage et identifier les dynamiques relationnelles ou organisationnelles en jeu.</w:t>
      </w:r>
    </w:p>
    <w:p w:rsidR="009B78D0" w:rsidRDefault="00F86975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Produire des recommandations opérationnelles et hiérarchisées.</w:t>
      </w:r>
    </w:p>
    <w:p w:rsidR="009B78D0" w:rsidRDefault="00F86975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Donner au manager des clés pour décider et engager un plan d’action adapté.</w:t>
      </w:r>
    </w:p>
    <w:p w:rsidR="009B78D0" w:rsidRDefault="009B78D0">
      <w:pPr>
        <w:jc w:val="both"/>
        <w:rPr>
          <w:rFonts w:ascii="Arial" w:hAnsi="Arial" w:cs="Arial"/>
          <w:sz w:val="24"/>
          <w:szCs w:val="24"/>
        </w:rPr>
      </w:pPr>
    </w:p>
    <w:p w:rsidR="009B78D0" w:rsidRDefault="00F86975">
      <w:pPr>
        <w:pStyle w:val="Titre2"/>
        <w:numPr>
          <w:ilvl w:val="0"/>
          <w:numId w:val="21"/>
        </w:numPr>
        <w:jc w:val="both"/>
        <w:rPr>
          <w:rFonts w:ascii="Arial" w:hAnsi="Arial" w:cs="Arial"/>
        </w:rPr>
      </w:pPr>
      <w:bookmarkStart w:id="11" w:name="_Toc21"/>
      <w:r>
        <w:rPr>
          <w:rFonts w:ascii="Arial" w:eastAsia="Arial" w:hAnsi="Arial" w:cs="Arial"/>
        </w:rPr>
        <w:t>Pré requis</w:t>
      </w:r>
      <w:bookmarkEnd w:id="11"/>
    </w:p>
    <w:p w:rsidR="009B78D0" w:rsidRDefault="00F8697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Concernant les participants :</w:t>
      </w:r>
    </w:p>
    <w:p w:rsidR="009B78D0" w:rsidRDefault="00F86975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Un positionnement clair du manager et de son encadrement sur le périmètre et les objectifs de l’audit.</w:t>
      </w:r>
    </w:p>
    <w:p w:rsidR="009B78D0" w:rsidRDefault="00F86975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La disponibilité des acteurs mobilisés pour participer aux entretiens.</w:t>
      </w:r>
    </w:p>
    <w:p w:rsidR="009B78D0" w:rsidRDefault="00F86975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Un engagement à garantir la confidentialité des échanges et à respecter l’anonymat des témoignages.</w:t>
      </w:r>
    </w:p>
    <w:p w:rsidR="009B78D0" w:rsidRDefault="00F8697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Le prestataire aura déjà réalisé des audits ciblés de ce type avec des publics mixtes (manager/agent)</w:t>
      </w:r>
    </w:p>
    <w:p w:rsidR="009B78D0" w:rsidRDefault="00F86975">
      <w:pPr>
        <w:pStyle w:val="Titre2"/>
        <w:numPr>
          <w:ilvl w:val="0"/>
          <w:numId w:val="21"/>
        </w:numPr>
        <w:jc w:val="both"/>
        <w:rPr>
          <w:rFonts w:ascii="Arial" w:hAnsi="Arial" w:cs="Arial"/>
        </w:rPr>
      </w:pPr>
      <w:bookmarkStart w:id="12" w:name="_Toc22"/>
      <w:r>
        <w:rPr>
          <w:rFonts w:ascii="Arial" w:eastAsia="Arial" w:hAnsi="Arial" w:cs="Arial"/>
          <w:lang w:eastAsia="fr-FR"/>
        </w:rPr>
        <w:lastRenderedPageBreak/>
        <w:t>Périmètre de la prestation</w:t>
      </w:r>
      <w:bookmarkEnd w:id="12"/>
    </w:p>
    <w:p w:rsidR="009B78D0" w:rsidRDefault="00F86975">
      <w:pPr>
        <w:pStyle w:val="Titre3"/>
        <w:jc w:val="both"/>
        <w:rPr>
          <w:rFonts w:ascii="Arial" w:hAnsi="Arial" w:cs="Arial"/>
        </w:rPr>
      </w:pPr>
      <w:bookmarkStart w:id="13" w:name="_Toc23"/>
      <w:r>
        <w:rPr>
          <w:rFonts w:ascii="Arial" w:eastAsia="Arial" w:hAnsi="Arial" w:cs="Arial"/>
          <w:lang w:eastAsia="fr-FR"/>
        </w:rPr>
        <w:t>4.1 Durée</w:t>
      </w:r>
      <w:bookmarkEnd w:id="13"/>
    </w:p>
    <w:p w:rsidR="009B78D0" w:rsidRDefault="00F8697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La durée varie en fonction de la nature de la problématique. </w:t>
      </w:r>
    </w:p>
    <w:p w:rsidR="009B78D0" w:rsidRDefault="00F86975">
      <w:pPr>
        <w:pStyle w:val="Titre3"/>
        <w:rPr>
          <w:rFonts w:ascii="Arial" w:hAnsi="Arial" w:cs="Arial"/>
        </w:rPr>
      </w:pPr>
      <w:bookmarkStart w:id="14" w:name="_Toc24"/>
      <w:r>
        <w:t xml:space="preserve">4.2 </w:t>
      </w:r>
      <w:r>
        <w:rPr>
          <w:rFonts w:ascii="Arial" w:eastAsia="Arial" w:hAnsi="Arial" w:cs="Arial"/>
        </w:rPr>
        <w:t>Public</w:t>
      </w:r>
      <w:bookmarkEnd w:id="14"/>
    </w:p>
    <w:p w:rsidR="009B78D0" w:rsidRDefault="00F86975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Managers d’équipes confrontés à une difficulté relationnelle, organisationnelle, communicationnelle.</w:t>
      </w:r>
    </w:p>
    <w:p w:rsidR="009B78D0" w:rsidRDefault="00F86975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Directions souhaitant mieux comprendre une problématique spécifique avant d’engager une transformation.</w:t>
      </w:r>
    </w:p>
    <w:p w:rsidR="009B78D0" w:rsidRDefault="00F86975">
      <w:pPr>
        <w:pStyle w:val="Titre3"/>
        <w:jc w:val="both"/>
        <w:rPr>
          <w:rFonts w:ascii="Arial" w:eastAsia="Arial" w:hAnsi="Arial" w:cs="Arial"/>
        </w:rPr>
      </w:pPr>
      <w:bookmarkStart w:id="15" w:name="_Toc25"/>
      <w:r>
        <w:rPr>
          <w:rFonts w:ascii="Arial" w:eastAsia="Arial" w:hAnsi="Arial" w:cs="Arial"/>
        </w:rPr>
        <w:t>4.3 Périmètre</w:t>
      </w:r>
      <w:bookmarkEnd w:id="15"/>
    </w:p>
    <w:p w:rsidR="009B78D0" w:rsidRDefault="00F8697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La démarche se structure autour de 4 étapes :</w:t>
      </w:r>
    </w:p>
    <w:p w:rsidR="009B78D0" w:rsidRDefault="00F86975">
      <w:pPr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jc w:val="both"/>
        <w:rPr>
          <w:rFonts w:ascii="Arial" w:hAnsi="Arial" w:cs="Arial"/>
        </w:rPr>
      </w:pPr>
      <w:proofErr w:type="gramStart"/>
      <w:r>
        <w:rPr>
          <w:rFonts w:ascii="Arial" w:eastAsia="Arial" w:hAnsi="Arial" w:cs="Arial"/>
          <w:color w:val="000000"/>
        </w:rPr>
        <w:t>Cadrage  :</w:t>
      </w:r>
      <w:proofErr w:type="gramEnd"/>
      <w:r>
        <w:rPr>
          <w:rFonts w:ascii="Arial" w:eastAsia="Arial" w:hAnsi="Arial" w:cs="Arial"/>
          <w:color w:val="000000"/>
        </w:rPr>
        <w:t xml:space="preserve"> réunion avec le commanditaire et la hiérarchie concernée pour préciser les attentes, le périmètre de l’audit, les documents à consulter et la communication à l’équipe ;</w:t>
      </w:r>
    </w:p>
    <w:p w:rsidR="009B78D0" w:rsidRDefault="00F86975">
      <w:pPr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 xml:space="preserve">Entretiens individuels : sur la base d’une grille d’entretien validée en amont par le commanditaire. </w:t>
      </w:r>
    </w:p>
    <w:p w:rsidR="009B78D0" w:rsidRDefault="00F86975">
      <w:pPr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Validation intermédiaire : réunion avec le commanditaire après la phase d’entretiens pour valider les premiers constats avant la rédaction du rapport final ;</w:t>
      </w:r>
    </w:p>
    <w:p w:rsidR="009B78D0" w:rsidRDefault="00F86975">
      <w:pPr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 xml:space="preserve">Analyse et restitution : synthèse des données, élaboration d’un rapport et présentation orale des éléments selon les niveaux hiérarchiques. </w:t>
      </w:r>
      <w:r>
        <w:rPr>
          <w:rFonts w:ascii="Arial" w:eastAsia="Arial" w:hAnsi="Arial" w:cs="Arial"/>
        </w:rPr>
        <w:t>Restitution et préconisations avec un membre de l’équipe qui a commandé l’audit (DADRH/DMGRH/DARRC/EAM)</w:t>
      </w:r>
    </w:p>
    <w:p w:rsidR="009B78D0" w:rsidRDefault="009B78D0">
      <w:pPr>
        <w:jc w:val="both"/>
        <w:rPr>
          <w:rFonts w:ascii="Arial" w:hAnsi="Arial" w:cs="Arial"/>
        </w:rPr>
      </w:pPr>
    </w:p>
    <w:p w:rsidR="009B78D0" w:rsidRDefault="00F86975">
      <w:pPr>
        <w:pStyle w:val="Titre3"/>
        <w:jc w:val="both"/>
        <w:rPr>
          <w:rFonts w:ascii="Arial" w:hAnsi="Arial" w:cs="Arial"/>
        </w:rPr>
      </w:pPr>
      <w:bookmarkStart w:id="16" w:name="_Toc26"/>
      <w:r>
        <w:rPr>
          <w:rFonts w:ascii="Arial" w:eastAsia="Arial" w:hAnsi="Arial" w:cs="Arial"/>
        </w:rPr>
        <w:t>4.4 Langue(s) de travail</w:t>
      </w:r>
      <w:bookmarkEnd w:id="16"/>
    </w:p>
    <w:p w:rsidR="009B78D0" w:rsidRDefault="00F8697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highlight w:val="white"/>
          <w:shd w:val="clear" w:color="FFFFFF" w:themeColor="background1" w:fill="FFFFFF" w:themeFill="background1"/>
        </w:rPr>
        <w:t>La prestation se déroulera principalement en langue française, cependant, il est possible que le recours à la langue anglaise facilite les échanges dans certaines situations. U</w:t>
      </w:r>
      <w:r>
        <w:rPr>
          <w:rFonts w:ascii="Arial" w:eastAsia="Arial" w:hAnsi="Arial" w:cs="Arial"/>
        </w:rPr>
        <w:t xml:space="preserve">ne possibilité de s’exprimer en langue anglaise serait un plus. </w:t>
      </w:r>
    </w:p>
    <w:p w:rsidR="009B78D0" w:rsidRDefault="00F8697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Une maîtrise du vocabulaire managérial et RH est attendue.</w:t>
      </w:r>
    </w:p>
    <w:p w:rsidR="009B78D0" w:rsidRDefault="009B78D0">
      <w:pPr>
        <w:jc w:val="both"/>
        <w:rPr>
          <w:rFonts w:ascii="Arial" w:hAnsi="Arial" w:cs="Arial"/>
        </w:rPr>
      </w:pPr>
    </w:p>
    <w:p w:rsidR="009B78D0" w:rsidRDefault="00F86975">
      <w:pPr>
        <w:pStyle w:val="Titre3"/>
        <w:rPr>
          <w:rFonts w:ascii="Arial" w:hAnsi="Arial" w:cs="Arial"/>
        </w:rPr>
      </w:pPr>
      <w:bookmarkStart w:id="17" w:name="_Toc27"/>
      <w:r>
        <w:t xml:space="preserve">4.5 </w:t>
      </w:r>
      <w:bookmarkStart w:id="18" w:name="_Toc14"/>
      <w:r>
        <w:rPr>
          <w:rFonts w:ascii="Arial" w:eastAsia="Arial" w:hAnsi="Arial" w:cs="Arial"/>
        </w:rPr>
        <w:t>Livrables attendus</w:t>
      </w:r>
      <w:bookmarkEnd w:id="18"/>
      <w:bookmarkEnd w:id="17"/>
    </w:p>
    <w:p w:rsidR="009B78D0" w:rsidRDefault="00F86975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>Une grille d’entretien adaptée</w:t>
      </w:r>
    </w:p>
    <w:p w:rsidR="009B78D0" w:rsidRDefault="00F86975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>Un rapport final avec une synthèses, des préconisations et un plan d’action</w:t>
      </w:r>
    </w:p>
    <w:p w:rsidR="009B78D0" w:rsidRDefault="00F86975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>Format libre (papier, numérique),</w:t>
      </w:r>
    </w:p>
    <w:p w:rsidR="009B78D0" w:rsidRDefault="009B78D0">
      <w:pPr>
        <w:jc w:val="both"/>
        <w:rPr>
          <w:rFonts w:ascii="Arial" w:hAnsi="Arial" w:cs="Arial"/>
        </w:rPr>
      </w:pPr>
    </w:p>
    <w:p w:rsidR="009B78D0" w:rsidRDefault="00F86975">
      <w:pPr>
        <w:pStyle w:val="Titre2"/>
        <w:numPr>
          <w:ilvl w:val="0"/>
          <w:numId w:val="21"/>
        </w:numPr>
        <w:jc w:val="both"/>
        <w:rPr>
          <w:rFonts w:ascii="Arial" w:hAnsi="Arial" w:cs="Arial"/>
        </w:rPr>
      </w:pPr>
      <w:bookmarkStart w:id="19" w:name="_Toc28"/>
      <w:r>
        <w:rPr>
          <w:rFonts w:ascii="Arial" w:eastAsia="Arial" w:hAnsi="Arial" w:cs="Arial"/>
        </w:rPr>
        <w:t>Objectifs et attendus</w:t>
      </w:r>
      <w:bookmarkEnd w:id="19"/>
    </w:p>
    <w:p w:rsidR="009B78D0" w:rsidRDefault="00F86975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Produire une analyse circonstanciée et neutre de la situation.</w:t>
      </w:r>
    </w:p>
    <w:p w:rsidR="009B78D0" w:rsidRDefault="00F86975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Mettre en lumière les causes profondes des difficultés rencontrées.</w:t>
      </w:r>
    </w:p>
    <w:p w:rsidR="009B78D0" w:rsidRDefault="00F86975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Identifier les leviers d’action prioritaires et les points de vigilance.</w:t>
      </w:r>
    </w:p>
    <w:p w:rsidR="009B78D0" w:rsidRDefault="00F86975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Élaborer un plan d’action concret et réaliste permettant d’améliorer à la fois le fonctionnement organisationnel et la qualité de vie au travail.</w:t>
      </w:r>
    </w:p>
    <w:p w:rsidR="009B78D0" w:rsidRDefault="00F86975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Donner au manager une base solide pour décider et agir.</w:t>
      </w:r>
    </w:p>
    <w:p w:rsidR="009B78D0" w:rsidRDefault="009B78D0">
      <w:pPr>
        <w:jc w:val="both"/>
        <w:rPr>
          <w:rFonts w:ascii="Arial" w:hAnsi="Arial" w:cs="Arial"/>
        </w:rPr>
      </w:pPr>
    </w:p>
    <w:p w:rsidR="009B78D0" w:rsidRDefault="009B78D0">
      <w:pPr>
        <w:jc w:val="both"/>
        <w:rPr>
          <w:rFonts w:ascii="Arial" w:hAnsi="Arial" w:cs="Arial"/>
        </w:rPr>
      </w:pPr>
    </w:p>
    <w:p w:rsidR="009B78D0" w:rsidRDefault="00F86975">
      <w:pPr>
        <w:pStyle w:val="Titre2"/>
        <w:numPr>
          <w:ilvl w:val="0"/>
          <w:numId w:val="21"/>
        </w:numPr>
        <w:jc w:val="both"/>
        <w:rPr>
          <w:rFonts w:ascii="Arial" w:hAnsi="Arial" w:cs="Arial"/>
        </w:rPr>
      </w:pPr>
      <w:bookmarkStart w:id="20" w:name="_Toc29"/>
      <w:r>
        <w:rPr>
          <w:rFonts w:ascii="Arial" w:eastAsia="Arial" w:hAnsi="Arial" w:cs="Arial"/>
        </w:rPr>
        <w:t>Calendrier et lieux de déroulement</w:t>
      </w:r>
      <w:bookmarkEnd w:id="20"/>
    </w:p>
    <w:p w:rsidR="009B78D0" w:rsidRDefault="00F869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lang w:eastAsia="fr-FR"/>
        </w:rPr>
        <w:t>L’audit se déroulera dans les locaux du service. Les entretiens auront lieu dans un bureau garantissant la confidentialité des échanges.</w:t>
      </w:r>
    </w:p>
    <w:p w:rsidR="009B78D0" w:rsidRDefault="00F8697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>Le calendrier sera établi avec le manager, en tenant compte des contraintes de l’équipe.</w:t>
      </w:r>
    </w:p>
    <w:p w:rsidR="009B78D0" w:rsidRDefault="00F8697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 xml:space="preserve">La prestation sera réalisée en présentielle cependant une partie des interventions pourra avoir lieu en distancielle ou dans les locaux du </w:t>
      </w:r>
      <w:proofErr w:type="gramStart"/>
      <w:r>
        <w:rPr>
          <w:rFonts w:ascii="Arial" w:eastAsia="Arial" w:hAnsi="Arial" w:cs="Arial"/>
          <w:lang w:eastAsia="fr-FR"/>
        </w:rPr>
        <w:t>prestataire  si</w:t>
      </w:r>
      <w:proofErr w:type="gramEnd"/>
      <w:r>
        <w:rPr>
          <w:rFonts w:ascii="Arial" w:eastAsia="Arial" w:hAnsi="Arial" w:cs="Arial"/>
          <w:lang w:eastAsia="fr-FR"/>
        </w:rPr>
        <w:t xml:space="preserve"> la situation le nécessite et que toutes les parties ont données leur accord.</w:t>
      </w:r>
    </w:p>
    <w:p w:rsidR="009B78D0" w:rsidRDefault="009B78D0">
      <w:pPr>
        <w:jc w:val="both"/>
        <w:rPr>
          <w:rFonts w:ascii="Arial" w:hAnsi="Arial" w:cs="Arial"/>
        </w:rPr>
      </w:pPr>
    </w:p>
    <w:p w:rsidR="009B78D0" w:rsidRDefault="00F86975">
      <w:pPr>
        <w:pStyle w:val="Titre3"/>
        <w:rPr>
          <w:rFonts w:ascii="Arial" w:hAnsi="Arial" w:cs="Arial"/>
        </w:rPr>
      </w:pPr>
      <w:bookmarkStart w:id="21" w:name="_Toc30"/>
      <w:r>
        <w:rPr>
          <w:rFonts w:ascii="Arial" w:eastAsia="Arial" w:hAnsi="Arial" w:cs="Arial"/>
          <w:lang w:eastAsia="fr-FR"/>
        </w:rPr>
        <w:t>6.1 Délais d’exécution</w:t>
      </w:r>
      <w:bookmarkEnd w:id="21"/>
    </w:p>
    <w:p w:rsidR="009B78D0" w:rsidRDefault="00F8697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 xml:space="preserve">Les délais d’exécution seront différents pour chacun des </w:t>
      </w:r>
      <w:r w:rsidR="00D44C03">
        <w:rPr>
          <w:rFonts w:ascii="Arial" w:eastAsia="Arial" w:hAnsi="Arial" w:cs="Arial"/>
          <w:lang w:eastAsia="fr-FR"/>
        </w:rPr>
        <w:t>marchés subséquents.</w:t>
      </w:r>
    </w:p>
    <w:p w:rsidR="009B78D0" w:rsidRDefault="009B78D0">
      <w:pPr>
        <w:jc w:val="both"/>
        <w:rPr>
          <w:rFonts w:ascii="Arial" w:hAnsi="Arial" w:cs="Arial"/>
        </w:rPr>
      </w:pPr>
    </w:p>
    <w:p w:rsidR="009B78D0" w:rsidRDefault="00F86975">
      <w:pPr>
        <w:pStyle w:val="Titre2"/>
        <w:numPr>
          <w:ilvl w:val="0"/>
          <w:numId w:val="21"/>
        </w:numPr>
        <w:jc w:val="both"/>
        <w:rPr>
          <w:rFonts w:ascii="Arial" w:hAnsi="Arial" w:cs="Arial"/>
        </w:rPr>
      </w:pPr>
      <w:bookmarkStart w:id="22" w:name="_Toc31"/>
      <w:r>
        <w:rPr>
          <w:rFonts w:ascii="Arial" w:eastAsia="Arial" w:hAnsi="Arial" w:cs="Arial"/>
          <w:lang w:eastAsia="fr-FR"/>
        </w:rPr>
        <w:t>Profil attendu du prestataire</w:t>
      </w:r>
      <w:bookmarkEnd w:id="22"/>
    </w:p>
    <w:p w:rsidR="009B78D0" w:rsidRDefault="00F86975">
      <w:pPr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after="0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Une expérience confirmée et des compétences en audit (CV attendu</w:t>
      </w:r>
      <w:proofErr w:type="gramStart"/>
      <w:r>
        <w:rPr>
          <w:rFonts w:ascii="Arial" w:eastAsia="Arial" w:hAnsi="Arial" w:cs="Arial"/>
          <w:color w:val="000000"/>
        </w:rPr>
        <w:t>);</w:t>
      </w:r>
      <w:proofErr w:type="gramEnd"/>
    </w:p>
    <w:p w:rsidR="009B78D0" w:rsidRDefault="00F86975">
      <w:pPr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after="0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Des références de missions similaires réalisées au cours des trois dernières années.</w:t>
      </w:r>
    </w:p>
    <w:p w:rsidR="009B78D0" w:rsidRDefault="00F86975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fr-FR"/>
        </w:rPr>
        <w:t>Une connaissance du secteur public et du monde universitaire serait un plus.</w:t>
      </w:r>
    </w:p>
    <w:p w:rsidR="009B78D0" w:rsidRDefault="009B78D0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9B78D0" w:rsidRDefault="009B78D0">
      <w:pPr>
        <w:rPr>
          <w:rFonts w:ascii="Arial" w:hAnsi="Arial" w:cs="Arial"/>
          <w:sz w:val="24"/>
          <w:szCs w:val="24"/>
        </w:rPr>
      </w:pPr>
    </w:p>
    <w:p w:rsidR="009B78D0" w:rsidRDefault="009B78D0">
      <w:pPr>
        <w:rPr>
          <w:rFonts w:ascii="Arial" w:hAnsi="Arial" w:cs="Arial"/>
        </w:rPr>
      </w:pPr>
    </w:p>
    <w:p w:rsidR="009B78D0" w:rsidRDefault="009B78D0">
      <w:pPr>
        <w:rPr>
          <w:rFonts w:ascii="Arial" w:hAnsi="Arial" w:cs="Arial"/>
        </w:rPr>
      </w:pPr>
    </w:p>
    <w:p w:rsidR="009B78D0" w:rsidRDefault="009B78D0">
      <w:pPr>
        <w:rPr>
          <w:rFonts w:ascii="Arial" w:hAnsi="Arial" w:cs="Arial"/>
        </w:rPr>
      </w:pPr>
    </w:p>
    <w:sectPr w:rsidR="009B78D0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F53F744" w16cex:dateUtc="2025-10-22T14:17:07Z"/>
  <w16cex:commentExtensible w16cex:durableId="67F5C597" w16cex:dateUtc="2025-10-21T13:20:21Z"/>
  <w16cex:commentExtensible w16cex:durableId="14E3B001" w16cex:dateUtc="2025-10-23T10:06:57Z"/>
  <w16cex:commentExtensible w16cex:durableId="2CA08649" w16cex:dateUtc="2025-10-20T07:58:00Z"/>
  <w16cex:commentExtensible w16cex:durableId="1EFCFD4E" w16cex:dateUtc="2025-10-23T09:58:4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8D0" w:rsidRDefault="00F86975">
      <w:pPr>
        <w:spacing w:after="0" w:line="240" w:lineRule="auto"/>
      </w:pPr>
      <w:r>
        <w:separator/>
      </w:r>
    </w:p>
  </w:endnote>
  <w:endnote w:type="continuationSeparator" w:id="0">
    <w:p w:rsidR="009B78D0" w:rsidRDefault="00F86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8D0" w:rsidRDefault="00F86975">
      <w:pPr>
        <w:spacing w:after="0" w:line="240" w:lineRule="auto"/>
      </w:pPr>
      <w:r>
        <w:separator/>
      </w:r>
    </w:p>
  </w:footnote>
  <w:footnote w:type="continuationSeparator" w:id="0">
    <w:p w:rsidR="009B78D0" w:rsidRDefault="00F86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8D0" w:rsidRDefault="00F86975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5302250</wp:posOffset>
              </wp:positionH>
              <wp:positionV relativeFrom="paragraph">
                <wp:posOffset>3213</wp:posOffset>
              </wp:positionV>
              <wp:extent cx="1253290" cy="435723"/>
              <wp:effectExtent l="0" t="0" r="4445" b="2540"/>
              <wp:wrapSquare wrapText="bothSides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_Université_de_Lorraine.svg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53289" cy="43572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8240;o:allowoverlap:true;o:allowincell:true;mso-position-horizontal-relative:text;margin-left:417.50pt;mso-position-horizontal:absolute;mso-position-vertical-relative:text;margin-top:0.25pt;mso-position-vertical:absolute;width:98.68pt;height:34.31pt;mso-wrap-distance-left:9.00pt;mso-wrap-distance-top:0.00pt;mso-wrap-distance-right:9.00pt;mso-wrap-distance-bottom:0.00pt;z-index:1;" stroked="false">
              <w10:wrap type="square"/>
              <v:imagedata r:id="rId2" o:title=""/>
              <o:lock v:ext="edit" rotation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C4E5A"/>
    <w:multiLevelType w:val="multilevel"/>
    <w:tmpl w:val="4412D6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EF5AE1"/>
    <w:multiLevelType w:val="multilevel"/>
    <w:tmpl w:val="6CCE79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54600"/>
    <w:multiLevelType w:val="multilevel"/>
    <w:tmpl w:val="7F101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B97CB9"/>
    <w:multiLevelType w:val="multilevel"/>
    <w:tmpl w:val="505A2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B1D53"/>
    <w:multiLevelType w:val="multilevel"/>
    <w:tmpl w:val="3FC4AE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B4008"/>
    <w:multiLevelType w:val="multilevel"/>
    <w:tmpl w:val="6616E2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078B0"/>
    <w:multiLevelType w:val="multilevel"/>
    <w:tmpl w:val="8A0A2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6802DA"/>
    <w:multiLevelType w:val="multilevel"/>
    <w:tmpl w:val="217615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71FD7"/>
    <w:multiLevelType w:val="multilevel"/>
    <w:tmpl w:val="693CB6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B6AE7"/>
    <w:multiLevelType w:val="multilevel"/>
    <w:tmpl w:val="E2A2DFE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D8637B5"/>
    <w:multiLevelType w:val="multilevel"/>
    <w:tmpl w:val="B49073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E6F89"/>
    <w:multiLevelType w:val="multilevel"/>
    <w:tmpl w:val="795C279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 w:hint="default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 w:hint="default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5EB130C"/>
    <w:multiLevelType w:val="multilevel"/>
    <w:tmpl w:val="B390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B6156"/>
    <w:multiLevelType w:val="multilevel"/>
    <w:tmpl w:val="DE54C8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556F2"/>
    <w:multiLevelType w:val="multilevel"/>
    <w:tmpl w:val="A1549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38D0BEA"/>
    <w:multiLevelType w:val="multilevel"/>
    <w:tmpl w:val="777EBA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946AE0"/>
    <w:multiLevelType w:val="multilevel"/>
    <w:tmpl w:val="C06432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031F5"/>
    <w:multiLevelType w:val="multilevel"/>
    <w:tmpl w:val="9BF0CB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D3DFB"/>
    <w:multiLevelType w:val="multilevel"/>
    <w:tmpl w:val="2B10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403C84"/>
    <w:multiLevelType w:val="multilevel"/>
    <w:tmpl w:val="8EB647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74C09"/>
    <w:multiLevelType w:val="multilevel"/>
    <w:tmpl w:val="7EF0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026FDC"/>
    <w:multiLevelType w:val="multilevel"/>
    <w:tmpl w:val="2036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8529C"/>
    <w:multiLevelType w:val="multilevel"/>
    <w:tmpl w:val="DC842E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149A2"/>
    <w:multiLevelType w:val="multilevel"/>
    <w:tmpl w:val="43267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585E56"/>
    <w:multiLevelType w:val="multilevel"/>
    <w:tmpl w:val="A2146D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A2DDE"/>
    <w:multiLevelType w:val="multilevel"/>
    <w:tmpl w:val="A8AEC1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55391B"/>
    <w:multiLevelType w:val="multilevel"/>
    <w:tmpl w:val="236A09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B12"/>
    <w:multiLevelType w:val="multilevel"/>
    <w:tmpl w:val="5D40F7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0"/>
  </w:num>
  <w:num w:numId="4">
    <w:abstractNumId w:val="1"/>
  </w:num>
  <w:num w:numId="5">
    <w:abstractNumId w:val="20"/>
  </w:num>
  <w:num w:numId="6">
    <w:abstractNumId w:val="17"/>
  </w:num>
  <w:num w:numId="7">
    <w:abstractNumId w:val="23"/>
  </w:num>
  <w:num w:numId="8">
    <w:abstractNumId w:val="3"/>
  </w:num>
  <w:num w:numId="9">
    <w:abstractNumId w:val="6"/>
  </w:num>
  <w:num w:numId="10">
    <w:abstractNumId w:val="19"/>
  </w:num>
  <w:num w:numId="11">
    <w:abstractNumId w:val="18"/>
  </w:num>
  <w:num w:numId="12">
    <w:abstractNumId w:val="8"/>
  </w:num>
  <w:num w:numId="13">
    <w:abstractNumId w:val="12"/>
  </w:num>
  <w:num w:numId="14">
    <w:abstractNumId w:val="5"/>
  </w:num>
  <w:num w:numId="15">
    <w:abstractNumId w:val="26"/>
  </w:num>
  <w:num w:numId="16">
    <w:abstractNumId w:val="14"/>
  </w:num>
  <w:num w:numId="17">
    <w:abstractNumId w:val="22"/>
  </w:num>
  <w:num w:numId="18">
    <w:abstractNumId w:val="27"/>
  </w:num>
  <w:num w:numId="19">
    <w:abstractNumId w:val="7"/>
  </w:num>
  <w:num w:numId="20">
    <w:abstractNumId w:val="2"/>
  </w:num>
  <w:num w:numId="21">
    <w:abstractNumId w:val="15"/>
  </w:num>
  <w:num w:numId="22">
    <w:abstractNumId w:val="9"/>
  </w:num>
  <w:num w:numId="23">
    <w:abstractNumId w:val="11"/>
  </w:num>
  <w:num w:numId="24">
    <w:abstractNumId w:val="4"/>
  </w:num>
  <w:num w:numId="25">
    <w:abstractNumId w:val="10"/>
  </w:num>
  <w:num w:numId="26">
    <w:abstractNumId w:val="16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8D0"/>
    <w:rsid w:val="006E3327"/>
    <w:rsid w:val="009B78D0"/>
    <w:rsid w:val="00D44C03"/>
    <w:rsid w:val="00F8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FA10"/>
  <w15:docId w15:val="{4F27392D-1659-42D8-A4A4-6C7C12DC8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ocdata">
    <w:name w:val="docdata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9069">
    <w:name w:val="9069"/>
    <w:basedOn w:val="Policepardfaut"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En-ttedetabledesmatires">
    <w:name w:val="TOC Heading"/>
    <w:basedOn w:val="Titre1"/>
    <w:next w:val="Normal"/>
    <w:uiPriority w:val="39"/>
    <w:unhideWhenUsed/>
    <w:qFormat/>
    <w:pPr>
      <w:outlineLvl w:val="9"/>
    </w:pPr>
    <w:rPr>
      <w:lang w:eastAsia="fr-FR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customStyle="1" w:styleId="7646">
    <w:name w:val="7646"/>
    <w:basedOn w:val="Policepardfau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79597-694C-4E28-88A2-2103E7E52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1064</Words>
  <Characters>5852</Characters>
  <Application>Microsoft Office Word</Application>
  <DocSecurity>0</DocSecurity>
  <Lines>48</Lines>
  <Paragraphs>13</Paragraphs>
  <ScaleCrop>false</ScaleCrop>
  <Company>Université de Lorraine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Avetisyan</dc:creator>
  <cp:keywords/>
  <dc:description/>
  <cp:lastModifiedBy>Franck Jolly</cp:lastModifiedBy>
  <cp:revision>20</cp:revision>
  <dcterms:created xsi:type="dcterms:W3CDTF">2025-10-20T07:14:00Z</dcterms:created>
  <dcterms:modified xsi:type="dcterms:W3CDTF">2025-11-12T14:56:00Z</dcterms:modified>
</cp:coreProperties>
</file>